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569"/>
          <w:tab w:val="left" w:pos="12390"/>
        </w:tabs>
        <w:spacing w:line="360" w:lineRule="auto"/>
        <w:jc w:val="both"/>
        <w:rPr>
          <w:sz w:val="44"/>
          <w:szCs w:val="44"/>
        </w:rPr>
      </w:pPr>
    </w:p>
    <w:p>
      <w:pPr>
        <w:tabs>
          <w:tab w:val="center" w:pos="7569"/>
          <w:tab w:val="left" w:pos="12390"/>
        </w:tabs>
        <w:spacing w:line="360" w:lineRule="auto"/>
        <w:jc w:val="center"/>
      </w:pPr>
      <w:bookmarkStart w:id="0" w:name="_GoBack"/>
      <w:bookmarkEnd w:id="0"/>
      <w:r>
        <w:rPr>
          <w:rFonts w:hint="eastAsia" w:ascii="宋体" w:hAnsi="宋体"/>
          <w:b/>
          <w:bCs/>
          <w:sz w:val="44"/>
          <w:szCs w:val="44"/>
          <w:lang w:val="en-US" w:eastAsia="zh-CN"/>
        </w:rPr>
        <w:t>设备采购</w:t>
      </w:r>
      <w:r>
        <w:rPr>
          <w:rFonts w:ascii="宋体" w:hAnsi="宋体"/>
          <w:b/>
          <w:bCs/>
          <w:sz w:val="44"/>
          <w:szCs w:val="44"/>
        </w:rPr>
        <w:t>合同</w:t>
      </w:r>
    </w:p>
    <w:p>
      <w:pPr>
        <w:spacing w:line="360" w:lineRule="auto"/>
        <w:jc w:val="center"/>
        <w:rPr>
          <w:rFonts w:hint="eastAsia" w:asciiTheme="minorEastAsia" w:hAnsiTheme="minorEastAsia" w:eastAsiaTheme="minorEastAsia" w:cstheme="minorEastAsia"/>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合同编号：</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需方：</w:t>
      </w:r>
      <w:r>
        <w:rPr>
          <w:rFonts w:hint="eastAsia" w:asciiTheme="minorEastAsia" w:hAnsiTheme="minorEastAsia" w:eastAsiaTheme="minorEastAsia" w:cstheme="minorEastAsia"/>
          <w:sz w:val="28"/>
          <w:szCs w:val="28"/>
          <w:u w:val="single"/>
        </w:rPr>
        <w:t>吉林省乾阳电力建设有限公司</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供方：</w:t>
      </w:r>
      <w:r>
        <w:rPr>
          <w:rFonts w:hint="eastAsia" w:asciiTheme="minorEastAsia" w:hAnsiTheme="minorEastAsia" w:eastAsiaTheme="minorEastAsia" w:cstheme="minorEastAsia"/>
          <w:sz w:val="28"/>
          <w:szCs w:val="28"/>
          <w:u w:val="none"/>
          <w:lang w:val="en-US" w:eastAsia="zh-CN"/>
        </w:rPr>
        <w:t xml:space="preserve">                          </w:t>
      </w:r>
      <w:r>
        <w:rPr>
          <w:rFonts w:hint="eastAsia" w:asciiTheme="minorEastAsia" w:hAnsiTheme="minorEastAsia" w:eastAsiaTheme="minorEastAsia" w:cstheme="minorEastAsia"/>
          <w:sz w:val="28"/>
          <w:szCs w:val="28"/>
          <w:lang w:val="en-US" w:eastAsia="zh-CN"/>
        </w:rPr>
        <w:t xml:space="preserve">     </w:t>
      </w:r>
    </w:p>
    <w:p>
      <w:pPr>
        <w:rPr>
          <w:rFonts w:hint="eastAsia" w:asciiTheme="minorEastAsia" w:hAnsiTheme="minorEastAsia" w:eastAsiaTheme="minorEastAsia" w:cstheme="minorEastAsia"/>
          <w:color w:val="004566"/>
          <w:sz w:val="28"/>
          <w:szCs w:val="28"/>
          <w:lang w:eastAsia="zh-CN"/>
        </w:rPr>
      </w:pPr>
      <w:r>
        <w:rPr>
          <w:rFonts w:hint="eastAsia" w:asciiTheme="minorEastAsia" w:hAnsiTheme="minorEastAsia" w:eastAsiaTheme="minorEastAsia" w:cstheme="minorEastAsia"/>
          <w:sz w:val="28"/>
          <w:szCs w:val="28"/>
        </w:rPr>
        <w:t>签定地点：</w:t>
      </w:r>
      <w:r>
        <w:rPr>
          <w:rFonts w:hint="eastAsia" w:asciiTheme="minorEastAsia" w:hAnsiTheme="minorEastAsia" w:eastAsiaTheme="minorEastAsia" w:cstheme="minorEastAsia"/>
          <w:color w:val="auto"/>
          <w:sz w:val="28"/>
          <w:szCs w:val="28"/>
        </w:rPr>
        <w:t>明阳清水河风电一期</w:t>
      </w:r>
      <w:r>
        <w:rPr>
          <w:rFonts w:hint="eastAsia" w:asciiTheme="minorEastAsia" w:hAnsiTheme="minorEastAsia" w:eastAsiaTheme="minorEastAsia" w:cstheme="minorEastAsia"/>
          <w:color w:val="auto"/>
          <w:sz w:val="28"/>
          <w:szCs w:val="28"/>
          <w:lang w:eastAsia="zh-CN"/>
        </w:rPr>
        <w:t>项目部</w:t>
      </w:r>
    </w:p>
    <w:p>
      <w:pPr>
        <w:spacing w:line="360" w:lineRule="auto"/>
        <w:jc w:val="left"/>
        <w:rPr>
          <w:rFonts w:hint="eastAsia" w:asciiTheme="minorEastAsia" w:hAnsiTheme="minorEastAsia" w:eastAsiaTheme="minorEastAsia" w:cstheme="minorEastAsia"/>
          <w:color w:val="004566"/>
          <w:sz w:val="28"/>
          <w:szCs w:val="28"/>
          <w:lang w:eastAsia="zh-CN"/>
        </w:rPr>
      </w:pPr>
      <w:r>
        <w:rPr>
          <w:rFonts w:hint="eastAsia" w:asciiTheme="minorEastAsia" w:hAnsiTheme="minorEastAsia" w:eastAsiaTheme="minorEastAsia" w:cstheme="minorEastAsia"/>
          <w:sz w:val="28"/>
          <w:szCs w:val="28"/>
        </w:rPr>
        <w:t>工程项目</w:t>
      </w:r>
      <w:r>
        <w:rPr>
          <w:rFonts w:hint="eastAsia" w:asciiTheme="minorEastAsia" w:hAnsiTheme="minorEastAsia" w:eastAsiaTheme="minorEastAsia" w:cstheme="minorEastAsia"/>
          <w:color w:val="00000A"/>
          <w:sz w:val="28"/>
          <w:szCs w:val="28"/>
        </w:rPr>
        <w:t>：明阳清水河县韭菜庄50MW风电供热项目发电项</w:t>
      </w:r>
      <w:r>
        <w:rPr>
          <w:rFonts w:hint="eastAsia" w:asciiTheme="minorEastAsia" w:hAnsiTheme="minorEastAsia" w:eastAsiaTheme="minorEastAsia" w:cstheme="minorEastAsia"/>
          <w:sz w:val="28"/>
          <w:szCs w:val="28"/>
        </w:rPr>
        <w:t>目</w:t>
      </w:r>
    </w:p>
    <w:p>
      <w:pPr>
        <w:ind w:firstLine="652" w:firstLineChars="233"/>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根据《中华人民共和国合同法》及相关法律的规定，甲方、乙方协商就</w:t>
      </w:r>
      <w:r>
        <w:rPr>
          <w:rFonts w:hint="eastAsia" w:asciiTheme="minorEastAsia" w:hAnsiTheme="minorEastAsia" w:eastAsiaTheme="minorEastAsia" w:cstheme="minorEastAsia"/>
          <w:color w:val="000000"/>
          <w:sz w:val="28"/>
          <w:szCs w:val="28"/>
          <w:lang w:val="en-US" w:eastAsia="zh-CN"/>
        </w:rPr>
        <w:t>明阳清水河风电项目</w:t>
      </w:r>
      <w:r>
        <w:rPr>
          <w:rFonts w:hint="eastAsia" w:asciiTheme="minorEastAsia" w:hAnsiTheme="minorEastAsia" w:eastAsiaTheme="minorEastAsia" w:cstheme="minorEastAsia"/>
          <w:color w:val="000000"/>
          <w:sz w:val="28"/>
          <w:szCs w:val="28"/>
        </w:rPr>
        <w:t>生活变频供水设备</w:t>
      </w:r>
      <w:r>
        <w:rPr>
          <w:rFonts w:hint="eastAsia" w:asciiTheme="minorEastAsia" w:hAnsiTheme="minorEastAsia" w:eastAsiaTheme="minorEastAsia" w:cstheme="minorEastAsia"/>
          <w:color w:val="000000"/>
          <w:sz w:val="28"/>
          <w:szCs w:val="28"/>
          <w:lang w:val="en-US" w:eastAsia="zh-CN"/>
        </w:rPr>
        <w:t>和生活污水处理设备采购</w:t>
      </w:r>
      <w:r>
        <w:rPr>
          <w:rFonts w:hint="eastAsia" w:asciiTheme="minorEastAsia" w:hAnsiTheme="minorEastAsia" w:eastAsiaTheme="minorEastAsia" w:cstheme="minorEastAsia"/>
          <w:color w:val="000000"/>
          <w:sz w:val="28"/>
          <w:szCs w:val="28"/>
        </w:rPr>
        <w:t xml:space="preserve">签订如下合同： </w:t>
      </w:r>
    </w:p>
    <w:p>
      <w:pPr>
        <w:ind w:firstLine="655" w:firstLineChars="233"/>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b/>
          <w:sz w:val="28"/>
          <w:szCs w:val="28"/>
        </w:rPr>
        <w:t>一、产品名称、规格型号及数量</w:t>
      </w:r>
    </w:p>
    <w:tbl>
      <w:tblPr>
        <w:tblStyle w:val="16"/>
        <w:tblpPr w:leftFromText="180" w:rightFromText="180" w:vertAnchor="text" w:horzAnchor="page" w:tblpX="1412" w:tblpY="1230"/>
        <w:tblOverlap w:val="never"/>
        <w:tblW w:w="9953" w:type="dxa"/>
        <w:tblInd w:w="0" w:type="dxa"/>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
      <w:tblGrid>
        <w:gridCol w:w="2407"/>
        <w:gridCol w:w="1876"/>
        <w:gridCol w:w="512"/>
        <w:gridCol w:w="324"/>
        <w:gridCol w:w="1428"/>
        <w:gridCol w:w="1773"/>
        <w:gridCol w:w="1633"/>
      </w:tblGrid>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2407" w:type="dxa"/>
            <w:tcBorders>
              <w:top w:val="single" w:color="000000" w:sz="4" w:space="0"/>
              <w:left w:val="double" w:color="000000" w:sz="4" w:space="0"/>
              <w:bottom w:val="single" w:color="000000" w:sz="4" w:space="0"/>
            </w:tcBorders>
            <w:shd w:val="clear" w:color="auto" w:fill="auto"/>
            <w:tcMar>
              <w:left w:w="9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1876" w:type="dxa"/>
            <w:tcBorders>
              <w:top w:val="single" w:color="000000" w:sz="4" w:space="0"/>
              <w:left w:val="single" w:color="000000" w:sz="4" w:space="0"/>
              <w:bottom w:val="single" w:color="000000" w:sz="4" w:space="0"/>
            </w:tcBorders>
            <w:shd w:val="clear" w:color="auto" w:fill="auto"/>
            <w:tcMar>
              <w:left w:w="10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规格型号</w:t>
            </w:r>
          </w:p>
        </w:tc>
        <w:tc>
          <w:tcPr>
            <w:tcW w:w="512" w:type="dxa"/>
            <w:tcBorders>
              <w:top w:val="single" w:color="000000" w:sz="4" w:space="0"/>
              <w:left w:val="single" w:color="000000" w:sz="4" w:space="0"/>
              <w:bottom w:val="single" w:color="000000" w:sz="4" w:space="0"/>
            </w:tcBorders>
            <w:shd w:val="clear" w:color="auto" w:fill="auto"/>
            <w:tcMar>
              <w:left w:w="10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数量</w:t>
            </w:r>
          </w:p>
        </w:tc>
        <w:tc>
          <w:tcPr>
            <w:tcW w:w="1752" w:type="dxa"/>
            <w:gridSpan w:val="2"/>
            <w:tcBorders>
              <w:top w:val="single" w:color="000000" w:sz="4" w:space="0"/>
              <w:left w:val="single" w:color="000000" w:sz="4" w:space="0"/>
              <w:bottom w:val="single" w:color="000000" w:sz="4" w:space="0"/>
            </w:tcBorders>
            <w:shd w:val="clear" w:color="auto" w:fill="auto"/>
            <w:tcMar>
              <w:left w:w="10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单价（元）</w:t>
            </w:r>
          </w:p>
        </w:tc>
        <w:tc>
          <w:tcPr>
            <w:tcW w:w="1773" w:type="dxa"/>
            <w:tcBorders>
              <w:top w:val="single" w:color="000000" w:sz="4" w:space="0"/>
              <w:left w:val="single" w:color="000000" w:sz="4" w:space="0"/>
              <w:bottom w:val="single" w:color="000000" w:sz="4" w:space="0"/>
            </w:tcBorders>
            <w:shd w:val="clear" w:color="auto" w:fill="auto"/>
            <w:tcMar>
              <w:left w:w="10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总价(元)</w:t>
            </w:r>
          </w:p>
        </w:tc>
        <w:tc>
          <w:tcPr>
            <w:tcW w:w="1633" w:type="dxa"/>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备注</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2407" w:type="dxa"/>
            <w:tcBorders>
              <w:top w:val="single" w:color="000000" w:sz="4" w:space="0"/>
              <w:left w:val="double" w:color="000000" w:sz="4" w:space="0"/>
              <w:bottom w:val="single" w:color="000000" w:sz="4" w:space="0"/>
            </w:tcBorders>
            <w:shd w:val="clear" w:color="auto" w:fill="auto"/>
            <w:tcMar>
              <w:left w:w="93" w:type="dxa"/>
            </w:tcMar>
            <w:vAlign w:val="center"/>
          </w:tcPr>
          <w:p>
            <w:pPr>
              <w:jc w:val="both"/>
              <w:rPr>
                <w:rFonts w:hint="eastAsia" w:asciiTheme="minorEastAsia" w:hAnsiTheme="minorEastAsia" w:eastAsiaTheme="minorEastAsia" w:cstheme="minorEastAsia"/>
                <w:color w:val="00000A"/>
                <w:sz w:val="28"/>
                <w:szCs w:val="28"/>
                <w:lang w:val="en-US" w:eastAsia="zh-CN"/>
              </w:rPr>
            </w:pPr>
            <w:r>
              <w:rPr>
                <w:rFonts w:hint="eastAsia" w:asciiTheme="minorEastAsia" w:hAnsiTheme="minorEastAsia" w:eastAsiaTheme="minorEastAsia" w:cstheme="minorEastAsia"/>
                <w:color w:val="00000A"/>
                <w:sz w:val="28"/>
                <w:szCs w:val="28"/>
                <w:lang w:val="en-US" w:eastAsia="zh-CN"/>
              </w:rPr>
              <w:t>生活变频供水设备</w:t>
            </w:r>
          </w:p>
        </w:tc>
        <w:tc>
          <w:tcPr>
            <w:tcW w:w="1876" w:type="dxa"/>
            <w:tcBorders>
              <w:top w:val="single" w:color="000000" w:sz="4" w:space="0"/>
              <w:left w:val="single" w:color="000000" w:sz="4" w:space="0"/>
              <w:bottom w:val="single" w:color="000000" w:sz="4" w:space="0"/>
            </w:tcBorders>
            <w:shd w:val="clear" w:color="auto" w:fill="auto"/>
            <w:tcMar>
              <w:left w:w="103" w:type="dxa"/>
            </w:tcMar>
            <w:vAlign w:val="center"/>
          </w:tcPr>
          <w:p>
            <w:pPr>
              <w:jc w:val="both"/>
              <w:rPr>
                <w:rFonts w:hint="eastAsia" w:asciiTheme="minorEastAsia" w:hAnsiTheme="minorEastAsia" w:eastAsiaTheme="minorEastAsia" w:cstheme="minorEastAsia"/>
                <w:color w:val="00000A"/>
                <w:sz w:val="28"/>
                <w:szCs w:val="28"/>
                <w:lang w:val="en-US" w:eastAsia="zh-CN"/>
              </w:rPr>
            </w:pPr>
            <w:r>
              <w:rPr>
                <w:rFonts w:hint="eastAsia" w:asciiTheme="minorEastAsia" w:hAnsiTheme="minorEastAsia" w:eastAsiaTheme="minorEastAsia" w:cstheme="minorEastAsia"/>
                <w:color w:val="00000A"/>
                <w:sz w:val="28"/>
                <w:szCs w:val="28"/>
                <w:lang w:val="en-US" w:eastAsia="zh-CN"/>
              </w:rPr>
              <w:t>Q＝12.6m</w:t>
            </w:r>
            <w:r>
              <w:rPr>
                <w:rFonts w:hint="eastAsia" w:asciiTheme="minorEastAsia" w:hAnsiTheme="minorEastAsia" w:eastAsiaTheme="minorEastAsia" w:cstheme="minorEastAsia"/>
                <w:color w:val="00000A"/>
                <w:sz w:val="28"/>
                <w:szCs w:val="28"/>
                <w:vertAlign w:val="superscript"/>
                <w:lang w:val="en-US" w:eastAsia="zh-CN"/>
              </w:rPr>
              <w:t>3</w:t>
            </w:r>
            <w:r>
              <w:rPr>
                <w:rFonts w:hint="eastAsia" w:asciiTheme="minorEastAsia" w:hAnsiTheme="minorEastAsia" w:eastAsiaTheme="minorEastAsia" w:cstheme="minorEastAsia"/>
                <w:color w:val="00000A"/>
                <w:sz w:val="28"/>
                <w:szCs w:val="28"/>
                <w:lang w:val="en-US" w:eastAsia="zh-CN"/>
              </w:rPr>
              <w:t>/h</w:t>
            </w:r>
          </w:p>
        </w:tc>
        <w:tc>
          <w:tcPr>
            <w:tcW w:w="512" w:type="dxa"/>
            <w:tcBorders>
              <w:top w:val="single" w:color="000000" w:sz="4" w:space="0"/>
              <w:left w:val="single" w:color="000000" w:sz="4" w:space="0"/>
              <w:bottom w:val="single" w:color="000000" w:sz="4" w:space="0"/>
            </w:tcBorders>
            <w:shd w:val="clear" w:color="auto" w:fill="auto"/>
            <w:tcMar>
              <w:left w:w="103" w:type="dxa"/>
            </w:tcMar>
            <w:vAlign w:val="center"/>
          </w:tcPr>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1套</w:t>
            </w:r>
          </w:p>
        </w:tc>
        <w:tc>
          <w:tcPr>
            <w:tcW w:w="1752" w:type="dxa"/>
            <w:gridSpan w:val="2"/>
            <w:tcBorders>
              <w:top w:val="single" w:color="000000" w:sz="4" w:space="0"/>
              <w:left w:val="single" w:color="000000" w:sz="4" w:space="0"/>
              <w:bottom w:val="single" w:color="000000" w:sz="4" w:space="0"/>
            </w:tcBorders>
            <w:shd w:val="clear" w:color="auto" w:fill="auto"/>
            <w:tcMar>
              <w:left w:w="103" w:type="dxa"/>
            </w:tcMar>
            <w:vAlign w:val="center"/>
          </w:tcPr>
          <w:p>
            <w:pPr>
              <w:jc w:val="both"/>
              <w:rPr>
                <w:rFonts w:hint="eastAsia" w:asciiTheme="minorEastAsia" w:hAnsiTheme="minorEastAsia" w:eastAsiaTheme="minorEastAsia" w:cstheme="minorEastAsia"/>
                <w:sz w:val="28"/>
                <w:szCs w:val="28"/>
              </w:rPr>
            </w:pPr>
          </w:p>
        </w:tc>
        <w:tc>
          <w:tcPr>
            <w:tcW w:w="1773" w:type="dxa"/>
            <w:tcBorders>
              <w:top w:val="single" w:color="000000" w:sz="4" w:space="0"/>
              <w:left w:val="single" w:color="000000" w:sz="4" w:space="0"/>
              <w:bottom w:val="single" w:color="000000" w:sz="4" w:space="0"/>
            </w:tcBorders>
            <w:shd w:val="clear" w:color="auto" w:fill="auto"/>
            <w:tcMar>
              <w:left w:w="103" w:type="dxa"/>
            </w:tcMar>
            <w:vAlign w:val="center"/>
          </w:tcPr>
          <w:p>
            <w:pPr>
              <w:jc w:val="both"/>
              <w:rPr>
                <w:rFonts w:hint="eastAsia" w:asciiTheme="minorEastAsia" w:hAnsiTheme="minorEastAsia" w:eastAsiaTheme="minorEastAsia" w:cstheme="minorEastAsia"/>
                <w:sz w:val="28"/>
                <w:szCs w:val="28"/>
              </w:rPr>
            </w:pPr>
          </w:p>
        </w:tc>
        <w:tc>
          <w:tcPr>
            <w:tcW w:w="1633" w:type="dxa"/>
            <w:tcBorders>
              <w:top w:val="single" w:color="000000" w:sz="4" w:space="0"/>
              <w:left w:val="single" w:color="000000" w:sz="4" w:space="0"/>
              <w:bottom w:val="single" w:color="000000" w:sz="4" w:space="0"/>
              <w:right w:val="double" w:color="000000" w:sz="4" w:space="0"/>
            </w:tcBorders>
            <w:shd w:val="clear" w:color="auto" w:fill="auto"/>
            <w:tcMar>
              <w:left w:w="103" w:type="dxa"/>
            </w:tcMar>
            <w:vAlign w:val="center"/>
          </w:tcPr>
          <w:p>
            <w:p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详见报价文件</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rPr>
          <w:trHeight w:val="589" w:hRule="atLeast"/>
        </w:trPr>
        <w:tc>
          <w:tcPr>
            <w:tcW w:w="2407" w:type="dxa"/>
            <w:tcBorders>
              <w:top w:val="single" w:color="000000" w:sz="4" w:space="0"/>
              <w:left w:val="double" w:color="000000" w:sz="4" w:space="0"/>
              <w:bottom w:val="single" w:color="000000" w:sz="4" w:space="0"/>
            </w:tcBorders>
            <w:shd w:val="clear" w:color="auto" w:fill="auto"/>
            <w:tcMar>
              <w:left w:w="93" w:type="dxa"/>
            </w:tcMar>
            <w:vAlign w:val="center"/>
          </w:tcPr>
          <w:p>
            <w:pPr>
              <w:jc w:val="both"/>
              <w:rPr>
                <w:rFonts w:hint="eastAsia" w:asciiTheme="minorEastAsia" w:hAnsiTheme="minorEastAsia" w:eastAsiaTheme="minorEastAsia" w:cstheme="minorEastAsia"/>
                <w:color w:val="00000A"/>
                <w:sz w:val="28"/>
                <w:szCs w:val="28"/>
                <w:lang w:val="en-US" w:eastAsia="zh-CN"/>
              </w:rPr>
            </w:pPr>
            <w:r>
              <w:rPr>
                <w:rFonts w:hint="eastAsia" w:asciiTheme="minorEastAsia" w:hAnsiTheme="minorEastAsia" w:eastAsiaTheme="minorEastAsia" w:cstheme="minorEastAsia"/>
                <w:color w:val="00000A"/>
                <w:sz w:val="28"/>
                <w:szCs w:val="28"/>
                <w:lang w:val="en-US" w:eastAsia="zh-CN"/>
              </w:rPr>
              <w:t>生活污水处理设备</w:t>
            </w:r>
          </w:p>
        </w:tc>
        <w:tc>
          <w:tcPr>
            <w:tcW w:w="1876" w:type="dxa"/>
            <w:tcBorders>
              <w:top w:val="single" w:color="000000" w:sz="4" w:space="0"/>
              <w:left w:val="single" w:color="000000" w:sz="4" w:space="0"/>
              <w:bottom w:val="single" w:color="000000" w:sz="4" w:space="0"/>
            </w:tcBorders>
            <w:shd w:val="clear" w:color="auto" w:fill="auto"/>
            <w:tcMar>
              <w:left w:w="103" w:type="dxa"/>
            </w:tcMar>
            <w:vAlign w:val="bottom"/>
          </w:tcPr>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Q=0.5m3/H</w:t>
            </w:r>
          </w:p>
        </w:tc>
        <w:tc>
          <w:tcPr>
            <w:tcW w:w="512" w:type="dxa"/>
            <w:tcBorders>
              <w:top w:val="single" w:color="000000" w:sz="4" w:space="0"/>
              <w:left w:val="single" w:color="000000" w:sz="4" w:space="0"/>
              <w:bottom w:val="single" w:color="000000" w:sz="4" w:space="0"/>
            </w:tcBorders>
            <w:shd w:val="clear" w:color="auto" w:fill="auto"/>
            <w:tcMar>
              <w:left w:w="103" w:type="dxa"/>
            </w:tcMar>
            <w:vAlign w:val="center"/>
          </w:tcPr>
          <w:p>
            <w:pPr>
              <w:snapToGrid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1套</w:t>
            </w:r>
          </w:p>
        </w:tc>
        <w:tc>
          <w:tcPr>
            <w:tcW w:w="1752" w:type="dxa"/>
            <w:gridSpan w:val="2"/>
            <w:tcBorders>
              <w:top w:val="single" w:color="000000" w:sz="4" w:space="0"/>
              <w:left w:val="single" w:color="000000" w:sz="4" w:space="0"/>
              <w:bottom w:val="single" w:color="000000" w:sz="4" w:space="0"/>
            </w:tcBorders>
            <w:shd w:val="clear" w:color="auto" w:fill="auto"/>
            <w:tcMar>
              <w:left w:w="103" w:type="dxa"/>
            </w:tcMar>
            <w:vAlign w:val="center"/>
          </w:tcPr>
          <w:p>
            <w:pPr>
              <w:snapToGrid w:val="0"/>
              <w:jc w:val="center"/>
              <w:rPr>
                <w:rFonts w:hint="eastAsia" w:asciiTheme="minorEastAsia" w:hAnsiTheme="minorEastAsia" w:eastAsiaTheme="minorEastAsia" w:cstheme="minorEastAsia"/>
                <w:sz w:val="28"/>
                <w:szCs w:val="28"/>
              </w:rPr>
            </w:pPr>
          </w:p>
        </w:tc>
        <w:tc>
          <w:tcPr>
            <w:tcW w:w="1773" w:type="dxa"/>
            <w:tcBorders>
              <w:top w:val="single" w:color="000000" w:sz="4" w:space="0"/>
              <w:left w:val="single" w:color="000000" w:sz="4" w:space="0"/>
              <w:bottom w:val="single" w:color="000000" w:sz="4" w:space="0"/>
            </w:tcBorders>
            <w:shd w:val="clear" w:color="auto" w:fill="auto"/>
            <w:tcMar>
              <w:left w:w="103" w:type="dxa"/>
            </w:tcMar>
            <w:vAlign w:val="center"/>
          </w:tcPr>
          <w:p>
            <w:pPr>
              <w:jc w:val="center"/>
              <w:rPr>
                <w:rFonts w:hint="eastAsia" w:asciiTheme="minorEastAsia" w:hAnsiTheme="minorEastAsia" w:eastAsiaTheme="minorEastAsia" w:cstheme="minorEastAsia"/>
                <w:sz w:val="28"/>
                <w:szCs w:val="28"/>
              </w:rPr>
            </w:pPr>
          </w:p>
        </w:tc>
        <w:tc>
          <w:tcPr>
            <w:tcW w:w="1633" w:type="dxa"/>
            <w:tcBorders>
              <w:top w:val="single" w:color="000000" w:sz="4" w:space="0"/>
              <w:left w:val="single" w:color="000000" w:sz="4" w:space="0"/>
              <w:bottom w:val="single" w:color="000000" w:sz="4" w:space="0"/>
              <w:right w:val="double" w:color="000000" w:sz="4" w:space="0"/>
            </w:tcBorders>
            <w:shd w:val="clear" w:color="auto" w:fill="auto"/>
            <w:tcMar>
              <w:left w:w="103" w:type="dxa"/>
            </w:tcMar>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详见报价文件</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rPr>
          <w:trHeight w:val="420" w:hRule="atLeast"/>
        </w:trPr>
        <w:tc>
          <w:tcPr>
            <w:tcW w:w="2407" w:type="dxa"/>
            <w:tcBorders>
              <w:top w:val="single" w:color="000000" w:sz="4" w:space="0"/>
              <w:left w:val="double" w:color="000000" w:sz="4" w:space="0"/>
              <w:bottom w:val="single" w:color="000000" w:sz="4" w:space="0"/>
            </w:tcBorders>
            <w:shd w:val="clear" w:color="auto" w:fill="auto"/>
            <w:tcMar>
              <w:left w:w="93" w:type="dxa"/>
            </w:tcMa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总金额（大写）</w:t>
            </w:r>
          </w:p>
        </w:tc>
        <w:tc>
          <w:tcPr>
            <w:tcW w:w="7546" w:type="dxa"/>
            <w:gridSpan w:val="6"/>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人民币大写：</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ind w:left="2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二、合同价格：</w:t>
            </w:r>
          </w:p>
          <w:p>
            <w:pPr>
              <w:spacing w:line="360" w:lineRule="auto"/>
              <w:ind w:left="2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本合同价格包括合同设备价格、随机备品备件及专用工具价格、设备税费（1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%增值税专用发票）、运输费及相关的技术资料、技术服务、包装费等本合同中乙方应承担的所有义务和工作的一切费用，甲方不再增加其他任何费用。</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三、质量要求技术标准：</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1、质量标准，按双方签订的技术条件、技术协议或技术要求执行，但不得低于国家标准和行业通用标准。</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2、乙方承诺提供设备、性能效果必须良好，如设备质量问题导致工程未通过验收，甲方有权要求乙方对设备进行整改，直至业主验收合格。</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四、供货范围：</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1、按合同中附件供货报价清单</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五、随机资料：</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1、详细的装箱清单，设备安装图、质量合格证明、设备使用说明书（含合同货物安装前对安装环境的要求、安装说明以及安装示意图）、运行维护说明书、产品检测</w:t>
            </w:r>
            <w:r>
              <w:rPr>
                <w:rFonts w:hint="eastAsia" w:asciiTheme="minorEastAsia" w:hAnsiTheme="minorEastAsia" w:eastAsiaTheme="minorEastAsia" w:cstheme="minorEastAsia"/>
                <w:color w:val="000000"/>
                <w:sz w:val="28"/>
                <w:szCs w:val="28"/>
              </w:rPr>
              <w:t>报告</w:t>
            </w:r>
            <w:r>
              <w:rPr>
                <w:rFonts w:hint="eastAsia" w:asciiTheme="minorEastAsia" w:hAnsiTheme="minorEastAsia" w:eastAsiaTheme="minorEastAsia" w:cstheme="minorEastAsia"/>
                <w:sz w:val="28"/>
                <w:szCs w:val="28"/>
              </w:rPr>
              <w:t>。开箱后，设备无缺件、损坏和锈蚀等情况。</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2、设备各管口保护物和封盖应完好。</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六、交（提）货地点及时间：</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1、本合同设备的交货期及交货顺序应满足工程建设设备安装进度和顺序的要求，应保证供货的及时性和部套的完整性。</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2、乙方专车运输方式，在设备移交给甲方之前的责任、费用均由乙方承担。</w:t>
            </w:r>
          </w:p>
          <w:p>
            <w:pPr>
              <w:spacing w:line="360" w:lineRule="auto"/>
              <w:ind w:left="1260" w:hanging="12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3、交货</w:t>
            </w:r>
            <w:r>
              <w:rPr>
                <w:rFonts w:hint="eastAsia" w:asciiTheme="minorEastAsia" w:hAnsiTheme="minorEastAsia" w:eastAsiaTheme="minorEastAsia" w:cstheme="minorEastAsia"/>
                <w:color w:val="00000A"/>
                <w:sz w:val="28"/>
                <w:szCs w:val="28"/>
              </w:rPr>
              <w:t>地点：明阳清水河县韭菜庄50MW风电供热项目</w:t>
            </w:r>
            <w:r>
              <w:rPr>
                <w:rFonts w:hint="eastAsia" w:asciiTheme="minorEastAsia" w:hAnsiTheme="minorEastAsia" w:eastAsiaTheme="minorEastAsia" w:cstheme="minorEastAsia"/>
                <w:color w:val="00000A"/>
                <w:sz w:val="28"/>
                <w:szCs w:val="28"/>
                <w:lang w:val="en-US" w:eastAsia="zh-CN"/>
              </w:rPr>
              <w:t>施工现场</w:t>
            </w:r>
            <w:r>
              <w:rPr>
                <w:rFonts w:hint="eastAsia" w:asciiTheme="minorEastAsia" w:hAnsiTheme="minorEastAsia" w:eastAsiaTheme="minorEastAsia" w:cstheme="minorEastAsia"/>
                <w:color w:val="00000A"/>
                <w:sz w:val="28"/>
                <w:szCs w:val="28"/>
              </w:rPr>
              <w:t xml:space="preserve"> （</w:t>
            </w:r>
            <w:r>
              <w:rPr>
                <w:rFonts w:hint="eastAsia" w:asciiTheme="minorEastAsia" w:hAnsiTheme="minorEastAsia" w:eastAsiaTheme="minorEastAsia" w:cstheme="minorEastAsia"/>
                <w:sz w:val="28"/>
                <w:szCs w:val="28"/>
                <w:lang w:val="en-US" w:eastAsia="zh-CN"/>
              </w:rPr>
              <w:t>距离清水河县35公里</w:t>
            </w:r>
            <w:r>
              <w:rPr>
                <w:rFonts w:hint="eastAsia" w:asciiTheme="minorEastAsia" w:hAnsiTheme="minorEastAsia" w:eastAsiaTheme="minorEastAsia" w:cstheme="minorEastAsia"/>
                <w:sz w:val="28"/>
                <w:szCs w:val="28"/>
              </w:rPr>
              <w:t>），收货人：</w:t>
            </w:r>
            <w:r>
              <w:rPr>
                <w:rFonts w:hint="eastAsia" w:asciiTheme="minorEastAsia" w:hAnsiTheme="minorEastAsia" w:eastAsiaTheme="minorEastAsia" w:cstheme="minorEastAsia"/>
                <w:sz w:val="28"/>
                <w:szCs w:val="28"/>
                <w:lang w:val="en-US" w:eastAsia="zh-CN"/>
              </w:rPr>
              <w:t>张宏斌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13992379002</w:t>
            </w:r>
          </w:p>
          <w:p>
            <w:pPr>
              <w:spacing w:line="360" w:lineRule="auto"/>
              <w:ind w:left="1260" w:hanging="12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4、乙方现场负责人：</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七、包装标准、包装物的供应与回收</w:t>
            </w:r>
            <w:r>
              <w:rPr>
                <w:rFonts w:hint="eastAsia" w:asciiTheme="minorEastAsia" w:hAnsiTheme="minorEastAsia" w:eastAsiaTheme="minorEastAsia" w:cstheme="minorEastAsia"/>
                <w:sz w:val="28"/>
                <w:szCs w:val="28"/>
              </w:rPr>
              <w:t>：</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1、货物的包装要保证产品在运输途中整齐，不散落、不被强日暴晒、不被雨淋，保证产品在运输途中不损坏。如因包装问题出现任何损坏，供方负全部责任。</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方应在货物启运24小时前，以传真的形式将发货清单、启运日期、到达日期、随车联系电话、联系人、装卸注意事项及货物保管注意事项等内容，传真至需方，以便需方安排接货，如供方未按要求将以上内容通知需方，在到货装卸倒运过程及到货保管过程中出现任何损坏，无论原因如何，均由供方负责。</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numPr>
                <w:ilvl w:val="0"/>
                <w:numId w:val="2"/>
              </w:num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质保期：</w:t>
            </w:r>
          </w:p>
          <w:p>
            <w:pPr>
              <w:spacing w:line="360" w:lineRule="auto"/>
              <w:rPr>
                <w:rFonts w:hint="eastAsia" w:asciiTheme="minorEastAsia" w:hAnsiTheme="minorEastAsia" w:eastAsiaTheme="minorEastAsia" w:cstheme="minorEastAsia"/>
                <w:color w:val="00000A"/>
                <w:sz w:val="28"/>
                <w:szCs w:val="28"/>
              </w:rPr>
            </w:pPr>
            <w:r>
              <w:rPr>
                <w:rFonts w:hint="eastAsia" w:asciiTheme="minorEastAsia" w:hAnsiTheme="minorEastAsia" w:eastAsiaTheme="minorEastAsia" w:cstheme="minorEastAsia"/>
                <w:color w:val="00000A"/>
                <w:sz w:val="28"/>
                <w:szCs w:val="28"/>
                <w:lang w:val="en-US" w:eastAsia="zh-CN"/>
              </w:rPr>
              <w:t>1、</w:t>
            </w:r>
            <w:r>
              <w:rPr>
                <w:rFonts w:hint="eastAsia" w:asciiTheme="minorEastAsia" w:hAnsiTheme="minorEastAsia" w:eastAsiaTheme="minorEastAsia" w:cstheme="minorEastAsia"/>
                <w:color w:val="00000A"/>
                <w:sz w:val="28"/>
                <w:szCs w:val="28"/>
              </w:rPr>
              <w:t>供方应保证在买方指定日期派工程师到现场指导安装和调试。</w:t>
            </w:r>
          </w:p>
          <w:p>
            <w:pPr>
              <w:spacing w:line="360" w:lineRule="auto"/>
              <w:rPr>
                <w:rFonts w:hint="eastAsia" w:asciiTheme="minorEastAsia" w:hAnsiTheme="minorEastAsia" w:eastAsiaTheme="minorEastAsia" w:cstheme="minorEastAsia"/>
                <w:color w:val="00000A"/>
                <w:sz w:val="28"/>
                <w:szCs w:val="28"/>
              </w:rPr>
            </w:pPr>
            <w:r>
              <w:rPr>
                <w:rFonts w:hint="eastAsia" w:asciiTheme="minorEastAsia" w:hAnsiTheme="minorEastAsia" w:eastAsiaTheme="minorEastAsia" w:cstheme="minorEastAsia"/>
                <w:color w:val="00000A"/>
                <w:sz w:val="28"/>
                <w:szCs w:val="28"/>
                <w:lang w:val="en-US" w:eastAsia="zh-CN"/>
              </w:rPr>
              <w:t>2、</w:t>
            </w:r>
            <w:r>
              <w:rPr>
                <w:rFonts w:hint="eastAsia" w:asciiTheme="minorEastAsia" w:hAnsiTheme="minorEastAsia" w:eastAsiaTheme="minorEastAsia" w:cstheme="minorEastAsia"/>
                <w:color w:val="00000A"/>
                <w:sz w:val="28"/>
                <w:szCs w:val="28"/>
              </w:rPr>
              <w:t>设备在安装运行时发生故障且用户不能自行解决时，卖方应在得到通知3日内派人前往协助解决。</w:t>
            </w:r>
          </w:p>
          <w:p>
            <w:pPr>
              <w:spacing w:line="360" w:lineRule="auto"/>
              <w:rPr>
                <w:rFonts w:hint="eastAsia" w:asciiTheme="minorEastAsia" w:hAnsiTheme="minorEastAsia" w:eastAsiaTheme="minorEastAsia" w:cstheme="minorEastAsia"/>
                <w:color w:val="00000A"/>
                <w:sz w:val="28"/>
                <w:szCs w:val="28"/>
              </w:rPr>
            </w:pPr>
            <w:r>
              <w:rPr>
                <w:rFonts w:hint="eastAsia" w:asciiTheme="minorEastAsia" w:hAnsiTheme="minorEastAsia" w:eastAsiaTheme="minorEastAsia" w:cstheme="minorEastAsia"/>
                <w:color w:val="00000A"/>
                <w:sz w:val="28"/>
                <w:szCs w:val="28"/>
                <w:lang w:val="en-US" w:eastAsia="zh-CN"/>
              </w:rPr>
              <w:t>3、</w:t>
            </w:r>
            <w:r>
              <w:rPr>
                <w:rFonts w:hint="eastAsia" w:asciiTheme="minorEastAsia" w:hAnsiTheme="minorEastAsia" w:eastAsiaTheme="minorEastAsia" w:cstheme="minorEastAsia"/>
                <w:color w:val="00000A"/>
                <w:sz w:val="28"/>
                <w:szCs w:val="28"/>
              </w:rPr>
              <w:t>自设备调试合格验收之日起（业主验收），12个月时间为质保期。</w:t>
            </w:r>
          </w:p>
          <w:p>
            <w:pPr>
              <w:spacing w:line="360" w:lineRule="auto"/>
              <w:rPr>
                <w:rFonts w:hint="eastAsia" w:asciiTheme="minorEastAsia" w:hAnsiTheme="minorEastAsia" w:eastAsiaTheme="minorEastAsia" w:cstheme="minorEastAsia"/>
                <w:color w:val="00000A"/>
                <w:sz w:val="28"/>
                <w:szCs w:val="28"/>
              </w:rPr>
            </w:pPr>
            <w:r>
              <w:rPr>
                <w:rFonts w:hint="eastAsia" w:asciiTheme="minorEastAsia" w:hAnsiTheme="minorEastAsia" w:eastAsiaTheme="minorEastAsia" w:cstheme="minorEastAsia"/>
                <w:color w:val="00000A"/>
                <w:sz w:val="28"/>
                <w:szCs w:val="28"/>
                <w:lang w:val="en-US" w:eastAsia="zh-CN"/>
              </w:rPr>
              <w:t>4、</w:t>
            </w:r>
            <w:r>
              <w:rPr>
                <w:rFonts w:hint="eastAsia" w:asciiTheme="minorEastAsia" w:hAnsiTheme="minorEastAsia" w:eastAsiaTheme="minorEastAsia" w:cstheme="minorEastAsia"/>
                <w:color w:val="00000A"/>
                <w:sz w:val="28"/>
                <w:szCs w:val="28"/>
              </w:rPr>
              <w:t>质保期间，凡是由于乙方产品质量或安装问题影响正常使用，由乙方负责维修，更换，一切费用由乙方承担。</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A"/>
                <w:sz w:val="28"/>
                <w:szCs w:val="28"/>
                <w:lang w:val="en-US" w:eastAsia="zh-CN"/>
              </w:rPr>
              <w:t>5</w:t>
            </w:r>
            <w:r>
              <w:rPr>
                <w:rFonts w:hint="eastAsia" w:asciiTheme="minorEastAsia" w:hAnsiTheme="minorEastAsia" w:eastAsiaTheme="minorEastAsia" w:cstheme="minorEastAsia"/>
                <w:color w:val="00000A"/>
                <w:sz w:val="28"/>
                <w:szCs w:val="28"/>
              </w:rPr>
              <w:t>、质保期后乙方负责设</w:t>
            </w:r>
            <w:r>
              <w:rPr>
                <w:rFonts w:hint="eastAsia" w:asciiTheme="minorEastAsia" w:hAnsiTheme="minorEastAsia" w:eastAsiaTheme="minorEastAsia" w:cstheme="minorEastAsia"/>
                <w:sz w:val="28"/>
                <w:szCs w:val="28"/>
              </w:rPr>
              <w:t>备的维修工作，且费用不得高于本合同价，接到甲方通知后的24小时内做出回应。</w:t>
            </w:r>
          </w:p>
          <w:p>
            <w:pPr>
              <w:spacing w:line="360" w:lineRule="auto"/>
              <w:rPr>
                <w:rFonts w:hint="eastAsia" w:asciiTheme="minorEastAsia" w:hAnsiTheme="minorEastAsia" w:eastAsiaTheme="minorEastAsia" w:cstheme="minorEastAsia"/>
                <w:sz w:val="28"/>
                <w:szCs w:val="28"/>
              </w:rPr>
            </w:pP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napToGrid w:val="0"/>
              <w:spacing w:line="360" w:lineRule="auto"/>
              <w:ind w:left="356" w:hanging="4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九、结算方式及期限：</w:t>
            </w:r>
          </w:p>
          <w:p>
            <w:pPr>
              <w:snapToGrid w:val="0"/>
              <w:spacing w:line="360" w:lineRule="auto"/>
              <w:ind w:left="355" w:hanging="4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1、合同签订双方盖章后生效，甲方支付给乙方合同设备款的50%为预付款。</w:t>
            </w:r>
          </w:p>
          <w:p>
            <w:pPr>
              <w:snapToGrid w:val="0"/>
              <w:spacing w:line="360" w:lineRule="auto"/>
              <w:ind w:left="355" w:hanging="4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2、乙方在收到款后7天内发货，乙方在货到现场后10天内将设备安装调试完毕。</w:t>
            </w:r>
          </w:p>
          <w:p>
            <w:pPr>
              <w:snapToGrid w:val="0"/>
              <w:spacing w:line="360" w:lineRule="auto"/>
              <w:ind w:left="355" w:hanging="416"/>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3、设备安装调试验收后，由甲方邀请相关管理部门取水样化验合格后，付设备款的45%。同时提交100%合同价格的1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%增值税专用发票。剩余5%设备款为设备质保金，质保期限为设备验收之日起一年。</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ind w:left="359" w:hanging="453"/>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十、开具票据：</w:t>
            </w:r>
          </w:p>
          <w:p>
            <w:pPr>
              <w:spacing w:line="360" w:lineRule="auto"/>
              <w:ind w:left="359" w:hanging="453"/>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color w:val="000000"/>
                <w:sz w:val="28"/>
                <w:szCs w:val="28"/>
              </w:rPr>
              <w:t>邮寄地址：吉林省长春市高新区蔚山路3300号嘉禾雅居2号楼11层；</w:t>
            </w:r>
          </w:p>
          <w:p>
            <w:pPr>
              <w:spacing w:line="360" w:lineRule="auto"/>
              <w:ind w:left="359" w:hanging="453"/>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color w:val="000000"/>
                <w:sz w:val="28"/>
                <w:szCs w:val="28"/>
              </w:rPr>
              <w:t>联系人：刘忠宇（财务13843178784）</w:t>
            </w:r>
            <w:r>
              <w:rPr>
                <w:rFonts w:hint="eastAsia" w:asciiTheme="minorEastAsia" w:hAnsiTheme="minorEastAsia" w:eastAsiaTheme="minorEastAsia" w:cstheme="minorEastAsia"/>
                <w:color w:val="000000"/>
                <w:sz w:val="28"/>
                <w:szCs w:val="28"/>
                <w:lang w:eastAsia="zh-CN"/>
              </w:rPr>
              <w:t>张岩</w:t>
            </w:r>
            <w:r>
              <w:rPr>
                <w:rFonts w:hint="eastAsia" w:asciiTheme="minorEastAsia" w:hAnsiTheme="minorEastAsia" w:eastAsiaTheme="minorEastAsia" w:cstheme="minorEastAsia"/>
                <w:color w:val="000000"/>
                <w:sz w:val="28"/>
                <w:szCs w:val="28"/>
              </w:rPr>
              <w:t>（合同</w:t>
            </w:r>
            <w:r>
              <w:rPr>
                <w:rFonts w:hint="eastAsia" w:asciiTheme="minorEastAsia" w:hAnsiTheme="minorEastAsia" w:eastAsiaTheme="minorEastAsia" w:cstheme="minorEastAsia"/>
                <w:color w:val="000000"/>
                <w:sz w:val="28"/>
                <w:szCs w:val="28"/>
                <w:lang w:val="en-US" w:eastAsia="zh-CN"/>
              </w:rPr>
              <w:t>18584356318</w:t>
            </w:r>
            <w:r>
              <w:rPr>
                <w:rFonts w:hint="eastAsia" w:asciiTheme="minorEastAsia" w:hAnsiTheme="minorEastAsia" w:eastAsiaTheme="minorEastAsia" w:cstheme="minorEastAsia"/>
                <w:color w:val="000000"/>
                <w:sz w:val="28"/>
                <w:szCs w:val="28"/>
              </w:rPr>
              <w:t>）</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十一、违约责任</w:t>
            </w:r>
            <w:r>
              <w:rPr>
                <w:rFonts w:hint="eastAsia" w:asciiTheme="minorEastAsia" w:hAnsiTheme="minorEastAsia" w:eastAsiaTheme="minorEastAsia" w:cstheme="minorEastAsia"/>
                <w:sz w:val="28"/>
                <w:szCs w:val="28"/>
              </w:rPr>
              <w:t>：</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Cs/>
                <w:sz w:val="28"/>
                <w:szCs w:val="28"/>
              </w:rPr>
              <w:t>乙方非因不可抗力因素导致的迟延交货，每迟延一日应按延期交货金额</w:t>
            </w:r>
            <w:r>
              <w:rPr>
                <w:rFonts w:hint="eastAsia" w:asciiTheme="minorEastAsia" w:hAnsiTheme="minorEastAsia" w:eastAsiaTheme="minorEastAsia" w:cstheme="minorEastAsia"/>
                <w:bCs/>
                <w:sz w:val="28"/>
                <w:szCs w:val="28"/>
                <w:highlight w:val="yellow"/>
              </w:rPr>
              <w:t>10%</w:t>
            </w:r>
            <w:r>
              <w:rPr>
                <w:rFonts w:hint="eastAsia" w:asciiTheme="minorEastAsia" w:hAnsiTheme="minorEastAsia" w:eastAsiaTheme="minorEastAsia" w:cstheme="minorEastAsia"/>
                <w:bCs/>
                <w:sz w:val="28"/>
                <w:szCs w:val="28"/>
              </w:rPr>
              <w:t>向甲方支付违约金，该违约赔偿额最多不超过迟交货物总值的</w:t>
            </w:r>
            <w:r>
              <w:rPr>
                <w:rFonts w:hint="eastAsia" w:asciiTheme="minorEastAsia" w:hAnsiTheme="minorEastAsia" w:eastAsiaTheme="minorEastAsia" w:cstheme="minorEastAsia"/>
                <w:bCs/>
                <w:sz w:val="28"/>
                <w:szCs w:val="28"/>
                <w:highlight w:val="yellow"/>
              </w:rPr>
              <w:t>5%</w:t>
            </w:r>
            <w:r>
              <w:rPr>
                <w:rFonts w:hint="eastAsia" w:asciiTheme="minorEastAsia" w:hAnsiTheme="minorEastAsia" w:eastAsiaTheme="minorEastAsia" w:cstheme="minorEastAsia"/>
                <w:bCs/>
                <w:sz w:val="28"/>
                <w:szCs w:val="28"/>
              </w:rPr>
              <w:t>。</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2、质保期间乙方协调厂家对所供设备提供必要技术服务，如质保期间厂家技术服务不及时，甲方有权对乙方进行处罚。</w:t>
            </w:r>
            <w:r>
              <w:rPr>
                <w:rFonts w:hint="eastAsia" w:asciiTheme="minorEastAsia" w:hAnsiTheme="minorEastAsia" w:eastAsiaTheme="minorEastAsia" w:cstheme="minorEastAsia"/>
                <w:sz w:val="28"/>
                <w:szCs w:val="28"/>
              </w:rPr>
              <w:t>合同中有明确规定的，按合同执行。</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3、由于乙方设备质量问题造成产水水质不达标，造成的一切损失由乙方负担。</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十二、解决合同纠纷的方式</w:t>
            </w:r>
            <w:r>
              <w:rPr>
                <w:rFonts w:hint="eastAsia" w:asciiTheme="minorEastAsia" w:hAnsiTheme="minorEastAsia" w:eastAsiaTheme="minorEastAsia" w:cstheme="minorEastAsia"/>
                <w:sz w:val="28"/>
                <w:szCs w:val="28"/>
              </w:rPr>
              <w:t>：由需方当地人民法院裁决。</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9953" w:type="dxa"/>
            <w:gridSpan w:val="7"/>
            <w:tcBorders>
              <w:top w:val="single" w:color="000000" w:sz="4" w:space="0"/>
              <w:left w:val="double" w:color="000000" w:sz="4" w:space="0"/>
              <w:bottom w:val="single" w:color="000000" w:sz="4" w:space="0"/>
              <w:right w:val="double" w:color="000000" w:sz="4" w:space="0"/>
            </w:tcBorders>
            <w:shd w:val="clear" w:color="auto" w:fill="auto"/>
            <w:tcMar>
              <w:left w:w="93" w:type="dxa"/>
            </w:tcMar>
          </w:tcPr>
          <w:p>
            <w:pPr>
              <w:spacing w:line="360" w:lineRule="auto"/>
              <w:ind w:left="413" w:hanging="41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十三、其他约定事项</w:t>
            </w:r>
            <w:r>
              <w:rPr>
                <w:rFonts w:hint="eastAsia" w:asciiTheme="minorEastAsia" w:hAnsiTheme="minorEastAsia" w:eastAsiaTheme="minorEastAsia" w:cstheme="minorEastAsia"/>
                <w:sz w:val="28"/>
                <w:szCs w:val="28"/>
              </w:rPr>
              <w:t>：</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1、在合同执行期间，如出现下列情况之一的（包括但不限于），甲方有权对供方进行处罚，直至更换厂家。</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2、乙方所供产品无法满足需方要求的。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3、乙方无法按规定的时间内到货的。</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需方：吉林省乾阳电力建设有限公司         </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供方：</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吉林省松原市乾安县乾安</w:t>
            </w:r>
            <w:r>
              <w:rPr>
                <w:rFonts w:hint="eastAsia" w:asciiTheme="minorEastAsia" w:hAnsiTheme="minorEastAsia" w:eastAsiaTheme="minorEastAsia" w:cstheme="minorEastAsia"/>
                <w:sz w:val="28"/>
                <w:szCs w:val="28"/>
              </w:rPr>
              <w:t>工业园区管理委员会（电子商务大厦）101、102室</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 </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val="en-US" w:eastAsia="zh-CN"/>
              </w:rPr>
              <w:t>张天平</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委托代理人：</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委托代理人：</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    真：</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    真：</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开户银行：中国农业银行股份有限公司乾安县支行</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开户银行： </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single" w:color="000000" w:sz="4" w:space="0"/>
            </w:tcBorders>
            <w:shd w:val="clear" w:color="auto" w:fill="auto"/>
            <w:tcMar>
              <w:left w:w="93" w:type="dxa"/>
            </w:tcMar>
          </w:tcPr>
          <w:p>
            <w:pPr>
              <w:spacing w:line="360" w:lineRule="auto"/>
              <w:ind w:left="-540" w:firstLine="5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    号：07741001040022412</w:t>
            </w:r>
          </w:p>
        </w:tc>
        <w:tc>
          <w:tcPr>
            <w:tcW w:w="4834" w:type="dxa"/>
            <w:gridSpan w:val="3"/>
            <w:tcBorders>
              <w:top w:val="single" w:color="000000" w:sz="4" w:space="0"/>
              <w:left w:val="single" w:color="000000" w:sz="4" w:space="0"/>
              <w:bottom w:val="sing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    号：</w:t>
            </w:r>
          </w:p>
        </w:tc>
      </w:tr>
      <w:tr>
        <w:tblPrEx>
          <w:tblBorders>
            <w:top w:val="single" w:color="000000" w:sz="4" w:space="0"/>
            <w:left w:val="double" w:color="000000" w:sz="4" w:space="0"/>
            <w:bottom w:val="single" w:color="000000" w:sz="4" w:space="0"/>
            <w:right w:val="none" w:color="auto" w:sz="0" w:space="0"/>
            <w:insideH w:val="single" w:color="000000" w:sz="4" w:space="0"/>
            <w:insideV w:val="none" w:color="auto" w:sz="0" w:space="0"/>
          </w:tblBorders>
          <w:tblLayout w:type="fixed"/>
          <w:tblCellMar>
            <w:top w:w="0" w:type="dxa"/>
            <w:left w:w="93" w:type="dxa"/>
            <w:bottom w:w="0" w:type="dxa"/>
            <w:right w:w="108" w:type="dxa"/>
          </w:tblCellMar>
        </w:tblPrEx>
        <w:tc>
          <w:tcPr>
            <w:tcW w:w="5119" w:type="dxa"/>
            <w:gridSpan w:val="4"/>
            <w:tcBorders>
              <w:top w:val="single" w:color="000000" w:sz="4" w:space="0"/>
              <w:left w:val="double" w:color="000000" w:sz="4" w:space="0"/>
              <w:bottom w:val="double" w:color="000000" w:sz="4" w:space="0"/>
            </w:tcBorders>
            <w:shd w:val="clear" w:color="auto" w:fill="auto"/>
            <w:tcMar>
              <w:left w:w="93" w:type="dxa"/>
            </w:tcMar>
          </w:tcPr>
          <w:p>
            <w:pPr>
              <w:spacing w:line="360" w:lineRule="auto"/>
              <w:ind w:left="-540" w:firstLine="5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税    号：91220723MA0Y45EL4U</w:t>
            </w:r>
          </w:p>
        </w:tc>
        <w:tc>
          <w:tcPr>
            <w:tcW w:w="4834" w:type="dxa"/>
            <w:gridSpan w:val="3"/>
            <w:tcBorders>
              <w:top w:val="single" w:color="000000" w:sz="4" w:space="0"/>
              <w:left w:val="single" w:color="000000" w:sz="4" w:space="0"/>
              <w:bottom w:val="double" w:color="000000" w:sz="4" w:space="0"/>
              <w:right w:val="double" w:color="000000" w:sz="4" w:space="0"/>
            </w:tcBorders>
            <w:shd w:val="clear" w:color="auto" w:fill="auto"/>
            <w:tcMar>
              <w:left w:w="103" w:type="dxa"/>
            </w:tcMa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税    号：</w:t>
            </w:r>
          </w:p>
        </w:tc>
      </w:tr>
    </w:tbl>
    <w:p>
      <w:pPr>
        <w:ind w:firstLine="280"/>
        <w:rPr>
          <w:rFonts w:hint="eastAsia" w:asciiTheme="minorEastAsia" w:hAnsiTheme="minorEastAsia" w:eastAsiaTheme="minorEastAsia" w:cstheme="minorEastAsia"/>
          <w:color w:val="000000"/>
          <w:sz w:val="28"/>
          <w:szCs w:val="28"/>
        </w:rPr>
      </w:pPr>
    </w:p>
    <w:p>
      <w:pPr>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、供方企业资质（营业执照、法人、代理人身份证复印件等）</w:t>
      </w:r>
    </w:p>
    <w:p>
      <w:pPr>
        <w:spacing w:line="360" w:lineRule="auto"/>
        <w:rPr>
          <w:rFonts w:hint="eastAsia" w:asciiTheme="minorEastAsia" w:hAnsiTheme="minorEastAsia" w:eastAsiaTheme="minorEastAsia" w:cstheme="minorEastAsia"/>
          <w:b/>
          <w:bCs/>
          <w:sz w:val="28"/>
          <w:szCs w:val="28"/>
        </w:rPr>
      </w:pPr>
    </w:p>
    <w:sectPr>
      <w:headerReference r:id="rId3" w:type="default"/>
      <w:footerReference r:id="rId4" w:type="default"/>
      <w:pgSz w:w="11906" w:h="16838"/>
      <w:pgMar w:top="1247" w:right="1418" w:bottom="1247" w:left="1418" w:header="737" w:footer="709"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SimHei">
    <w:altName w:val="黑体"/>
    <w:panose1 w:val="00000000000000000000"/>
    <w:charset w:val="86"/>
    <w:family w:val="roman"/>
    <w:pitch w:val="default"/>
    <w:sig w:usb0="00000000" w:usb1="00000000" w:usb2="00000000" w:usb3="00000000" w:csb0="00000000" w:csb1="00000000"/>
  </w:font>
  <w:font w:name="Lucida Sans">
    <w:panose1 w:val="020B0602030504020204"/>
    <w:charset w:val="00"/>
    <w:family w:val="swiss"/>
    <w:pitch w:val="default"/>
    <w:sig w:usb0="A1002AEF" w:usb1="8000787B" w:usb2="00000008" w:usb3="00000000" w:csb0="600100FF" w:csb1="FFFF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宋体;SimSun">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t>第</w:t>
    </w:r>
    <w:r>
      <w:rPr>
        <w:rFonts w:ascii="宋体" w:hAnsi="宋体"/>
      </w:rPr>
      <w:fldChar w:fldCharType="begin"/>
    </w:r>
    <w:r>
      <w:instrText xml:space="preserve">PAGE</w:instrText>
    </w:r>
    <w:r>
      <w:fldChar w:fldCharType="separate"/>
    </w:r>
    <w:r>
      <w:t>1</w:t>
    </w:r>
    <w:r>
      <w:fldChar w:fldCharType="end"/>
    </w:r>
    <w:r>
      <w:rPr>
        <w:rFonts w:ascii="宋体" w:hAnsi="宋体"/>
      </w:rPr>
      <w:t>页</w:t>
    </w:r>
    <w:r>
      <w:rPr>
        <w:rFonts w:ascii="宋体" w:hAnsi="宋体"/>
        <w:lang w:val="zh-CN"/>
      </w:rPr>
      <w:t xml:space="preserve"> /共</w:t>
    </w:r>
    <w:r>
      <w:rPr>
        <w:rFonts w:ascii="宋体" w:hAnsi="宋体"/>
        <w:lang w:val="zh-CN"/>
      </w:rPr>
      <w:fldChar w:fldCharType="begin"/>
    </w:r>
    <w:r>
      <w:instrText xml:space="preserve">NUMPAGES</w:instrText>
    </w:r>
    <w:r>
      <w:fldChar w:fldCharType="separate"/>
    </w:r>
    <w:r>
      <w:t>11</w:t>
    </w:r>
    <w:r>
      <w:fldChar w:fldCharType="end"/>
    </w:r>
    <w:r>
      <w:rPr>
        <w:rFonts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720" w:firstLine="567"/>
      <w:jc w:val="right"/>
    </w:pPr>
    <w:r>
      <w:rPr>
        <w:rFonts w:ascii="宋体" w:hAnsi="宋体"/>
      </w:rPr>
      <w:t>吉林省乾阳电力建设有限公司</w:t>
    </w:r>
    <w:r>
      <w:drawing>
        <wp:anchor distT="0" distB="0" distL="114300" distR="123190" simplePos="0" relativeHeight="251657216" behindDoc="1" locked="0" layoutInCell="1" allowOverlap="1">
          <wp:simplePos x="0" y="0"/>
          <wp:positionH relativeFrom="column">
            <wp:posOffset>-52705</wp:posOffset>
          </wp:positionH>
          <wp:positionV relativeFrom="paragraph">
            <wp:posOffset>-159385</wp:posOffset>
          </wp:positionV>
          <wp:extent cx="371475" cy="3429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tretch>
                    <a:fillRect/>
                  </a:stretch>
                </pic:blipFill>
                <pic:spPr>
                  <a:xfrm>
                    <a:off x="0" y="0"/>
                    <a:ext cx="371475" cy="342900"/>
                  </a:xfrm>
                  <a:prstGeom prst="rect">
                    <a:avLst/>
                  </a:prstGeom>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margin">
                <wp:align>center</wp:align>
              </wp:positionV>
              <wp:extent cx="819785" cy="153035"/>
              <wp:effectExtent l="0" t="0" r="0" b="0"/>
              <wp:wrapNone/>
              <wp:docPr id="2" name="shape_0"/>
              <wp:cNvGraphicFramePr/>
              <a:graphic xmlns:a="http://schemas.openxmlformats.org/drawingml/2006/main">
                <a:graphicData uri="http://schemas.microsoft.com/office/word/2010/wordprocessingShape">
                  <wps:wsp>
                    <wps:cNvSpPr/>
                    <wps:spPr>
                      <a:xfrm rot="18900000">
                        <a:off x="0" y="0"/>
                        <a:ext cx="819785" cy="153035"/>
                      </a:xfrm>
                      <a:custGeom>
                        <a:avLst/>
                        <a:gdLst>
                          <a:gd name="A1" fmla="val 10800"/>
                          <a:gd name="A2" fmla="val 0"/>
                          <a:gd name="G0" fmla="+- A1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xL" fmla="*/ 3163 w 21600"/>
                          <a:gd name="txT" fmla="*/ 3163 h 21600"/>
                          <a:gd name="txR" fmla="*/ 18437 w 21600"/>
                          <a:gd name="txB" fmla="*/ 18437 h 21600"/>
                        </a:gdLst>
                        <a:ahLst/>
                        <a:cxnLst/>
                        <a:rect l="txL" t="txT" r="txR" b="txB"/>
                        <a:pathLst>
                          <a:path w="21600" h="21600">
                            <a:moveTo>
                              <a:pt x="G9" y="0"/>
                            </a:moveTo>
                            <a:lnTo>
                              <a:pt x="21600" y="0"/>
                            </a:lnTo>
                          </a:path>
                          <a:path w="21600" h="21600">
                            <a:moveTo>
                              <a:pt x="G11" y="21600"/>
                            </a:moveTo>
                            <a:lnTo>
                              <a:pt x="21600" y="21600"/>
                            </a:lnTo>
                          </a:path>
                        </a:pathLst>
                      </a:custGeom>
                      <a:solidFill>
                        <a:srgbClr val="C0C0C0">
                          <a:alpha val="50000"/>
                        </a:srgbClr>
                      </a:solidFill>
                      <a:ln w="9525">
                        <a:noFill/>
                      </a:ln>
                    </wps:spPr>
                    <wps:bodyPr upright="1"/>
                  </wps:wsp>
                </a:graphicData>
              </a:graphic>
            </wp:anchor>
          </w:drawing>
        </mc:Choice>
        <mc:Fallback>
          <w:pict>
            <v:shape id="shape_0" o:spid="_x0000_s1026" o:spt="100" style="position:absolute;left:0pt;height:12.05pt;width:64.55pt;mso-position-horizontal:center;mso-position-vertical:center;mso-position-vertical-relative:margin;rotation:-2949120f;z-index:251658240;mso-width-relative:page;mso-height-relative:page;" fillcolor="#C0C0C0" filled="t" stroked="f" coordsize="21600,21600" o:gfxdata="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nqLGM&#10;0gAAAAQBAAAPAAAAAAAAAAEAIAAAACIAAABkcnMvZG93bnJldi54bWxQSwECFAAUAAAACACHTuJA&#10;gSkkdtICAABWBwAADgAAAAAAAAABACAAAAAhAQAAZHJzL2Uyb0RvYy54bWxQSwUGAAAAAAYABgBZ&#10;AQAAZQYAAAAA&#10;" path="m0,0l21600,0em0,21600l21600,21600e">
              <v:fill on="t" opacity="32768f" focussize="0,0"/>
              <v:stroke on="f"/>
              <v:imagedata o:title=""/>
              <o:lock v:ext="edit" aspectratio="f"/>
            </v:shape>
          </w:pict>
        </mc:Fallback>
      </mc:AlternateContent>
    </w:r>
    <w:r>
      <w:rPr>
        <w:rFonts w:hint="eastAsia" w:ascii="宋体" w:hAnsi="宋体"/>
        <w:lang w:val="en-US" w:eastAsia="zh-CN"/>
      </w:rPr>
      <w:t xml:space="preserve">                                                </w:t>
    </w:r>
    <w:r>
      <w:rPr>
        <w:rFonts w:ascii="宋体" w:hAnsi="宋体"/>
      </w:rPr>
      <w:t>设备采购合同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24C56"/>
    <w:multiLevelType w:val="multilevel"/>
    <w:tmpl w:val="26A24C56"/>
    <w:lvl w:ilvl="0" w:tentative="0">
      <w:start w:val="1"/>
      <w:numFmt w:val="none"/>
      <w:suff w:val="nothing"/>
      <w:lvlText w:val=""/>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5C8EFB9"/>
    <w:multiLevelType w:val="singleLevel"/>
    <w:tmpl w:val="55C8EFB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C7"/>
    <w:rsid w:val="000A23C7"/>
    <w:rsid w:val="003D38A3"/>
    <w:rsid w:val="006213A6"/>
    <w:rsid w:val="00763BBD"/>
    <w:rsid w:val="007F282E"/>
    <w:rsid w:val="009A704A"/>
    <w:rsid w:val="00C11451"/>
    <w:rsid w:val="00C52816"/>
    <w:rsid w:val="00EA41C7"/>
    <w:rsid w:val="058B6519"/>
    <w:rsid w:val="07A96ED5"/>
    <w:rsid w:val="0C6875C0"/>
    <w:rsid w:val="0DE31495"/>
    <w:rsid w:val="0FFD33E4"/>
    <w:rsid w:val="14A74166"/>
    <w:rsid w:val="17FC73E3"/>
    <w:rsid w:val="211F29A0"/>
    <w:rsid w:val="21FE68CA"/>
    <w:rsid w:val="261A3410"/>
    <w:rsid w:val="262854EB"/>
    <w:rsid w:val="42C33390"/>
    <w:rsid w:val="57BF228C"/>
    <w:rsid w:val="74B32CF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A"/>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5" w:lineRule="auto"/>
      <w:outlineLvl w:val="1"/>
    </w:pPr>
    <w:rPr>
      <w:rFonts w:ascii="Arial" w:hAnsi="Arial" w:eastAsia="黑体;SimHei" w:cs="Arial"/>
      <w:b/>
      <w:bCs/>
      <w:sz w:val="32"/>
      <w:szCs w:val="32"/>
    </w:rPr>
  </w:style>
  <w:style w:type="character" w:default="1" w:styleId="12">
    <w:name w:val="Default Paragraph Font"/>
    <w:unhideWhenUsed/>
    <w:qFormat/>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rFonts w:cs="Lucida Sans"/>
      <w:i/>
      <w:iCs/>
      <w:sz w:val="24"/>
    </w:rPr>
  </w:style>
  <w:style w:type="paragraph" w:styleId="4">
    <w:name w:val="Document Map"/>
    <w:basedOn w:val="1"/>
    <w:link w:val="18"/>
    <w:qFormat/>
    <w:uiPriority w:val="99"/>
    <w:rPr>
      <w:rFonts w:ascii="宋体" w:hAnsi="宋体"/>
      <w:sz w:val="18"/>
      <w:szCs w:val="18"/>
    </w:rPr>
  </w:style>
  <w:style w:type="paragraph" w:styleId="5">
    <w:name w:val="Body Text"/>
    <w:basedOn w:val="1"/>
    <w:qFormat/>
    <w:uiPriority w:val="0"/>
    <w:pPr>
      <w:spacing w:after="140" w:line="288" w:lineRule="auto"/>
    </w:pPr>
  </w:style>
  <w:style w:type="paragraph" w:styleId="6">
    <w:name w:val="Body Text Indent"/>
    <w:basedOn w:val="1"/>
    <w:uiPriority w:val="0"/>
    <w:pPr>
      <w:spacing w:line="500" w:lineRule="exact"/>
      <w:ind w:firstLine="510"/>
    </w:pPr>
    <w:rPr>
      <w:sz w:val="28"/>
      <w:szCs w:val="20"/>
    </w:rPr>
  </w:style>
  <w:style w:type="paragraph" w:styleId="7">
    <w:name w:val="Plain Text"/>
    <w:basedOn w:val="1"/>
    <w:qFormat/>
    <w:uiPriority w:val="0"/>
    <w:rPr>
      <w:rFonts w:ascii="宋体" w:hAnsi="Courier New"/>
    </w:rPr>
  </w:style>
  <w:style w:type="paragraph" w:styleId="8">
    <w:name w:val="Balloon Text"/>
    <w:basedOn w:val="1"/>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00000A" w:sz="6" w:space="1"/>
      </w:pBdr>
      <w:tabs>
        <w:tab w:val="center" w:pos="4153"/>
        <w:tab w:val="right" w:pos="8306"/>
      </w:tabs>
      <w:snapToGrid w:val="0"/>
      <w:jc w:val="center"/>
    </w:pPr>
    <w:rPr>
      <w:sz w:val="18"/>
      <w:szCs w:val="18"/>
    </w:rPr>
  </w:style>
  <w:style w:type="paragraph" w:styleId="11">
    <w:name w:val="List"/>
    <w:basedOn w:val="5"/>
    <w:qFormat/>
    <w:uiPriority w:val="0"/>
    <w:rPr>
      <w:rFonts w:cs="Lucida Sans"/>
    </w:rPr>
  </w:style>
  <w:style w:type="character" w:styleId="13">
    <w:name w:val="page number"/>
    <w:basedOn w:val="12"/>
    <w:qFormat/>
    <w:uiPriority w:val="99"/>
    <w:rPr>
      <w:rFonts w:cs="Times New Roman"/>
    </w:rPr>
  </w:style>
  <w:style w:type="character" w:styleId="14">
    <w:name w:val="FollowedHyperlink"/>
    <w:basedOn w:val="12"/>
    <w:semiHidden/>
    <w:unhideWhenUsed/>
    <w:uiPriority w:val="99"/>
    <w:rPr>
      <w:color w:val="800080"/>
      <w:u w:val="none"/>
    </w:rPr>
  </w:style>
  <w:style w:type="character" w:styleId="15">
    <w:name w:val="Hyperlink"/>
    <w:basedOn w:val="12"/>
    <w:semiHidden/>
    <w:unhideWhenUsed/>
    <w:uiPriority w:val="99"/>
    <w:rPr>
      <w:color w:val="0000FF"/>
      <w:u w:val="none"/>
    </w:rPr>
  </w:style>
  <w:style w:type="table" w:styleId="17">
    <w:name w:val="Table Grid"/>
    <w:basedOn w:val="1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文档结构图 Char"/>
    <w:basedOn w:val="12"/>
    <w:link w:val="4"/>
    <w:semiHidden/>
    <w:qFormat/>
    <w:locked/>
    <w:uiPriority w:val="99"/>
    <w:rPr>
      <w:rFonts w:ascii="宋体" w:hAnsi="宋体" w:eastAsia="宋体" w:cs="Times New Roman"/>
      <w:sz w:val="18"/>
      <w:szCs w:val="18"/>
    </w:rPr>
  </w:style>
  <w:style w:type="character" w:customStyle="1" w:styleId="19">
    <w:name w:val="页脚 Char"/>
    <w:basedOn w:val="12"/>
    <w:link w:val="9"/>
    <w:semiHidden/>
    <w:qFormat/>
    <w:locked/>
    <w:uiPriority w:val="99"/>
    <w:rPr>
      <w:rFonts w:ascii="Times New Roman" w:hAnsi="Times New Roman" w:eastAsia="宋体" w:cs="Times New Roman"/>
      <w:sz w:val="18"/>
      <w:szCs w:val="18"/>
    </w:rPr>
  </w:style>
  <w:style w:type="character" w:customStyle="1" w:styleId="20">
    <w:name w:val="页眉 Char1"/>
    <w:basedOn w:val="12"/>
    <w:link w:val="10"/>
    <w:qFormat/>
    <w:locked/>
    <w:uiPriority w:val="99"/>
    <w:rPr>
      <w:rFonts w:ascii="Times New Roman" w:hAnsi="Times New Roman" w:eastAsia="宋体" w:cs="Times New Roman"/>
      <w:sz w:val="18"/>
      <w:szCs w:val="18"/>
    </w:rPr>
  </w:style>
  <w:style w:type="character" w:customStyle="1" w:styleId="21">
    <w:name w:val="页眉 Char"/>
    <w:basedOn w:val="12"/>
    <w:qFormat/>
    <w:locked/>
    <w:uiPriority w:val="99"/>
    <w:rPr>
      <w:rFonts w:ascii="Times New Roman" w:hAnsi="Times New Roman" w:eastAsia="宋体" w:cs="Times New Roman"/>
      <w:sz w:val="18"/>
      <w:szCs w:val="18"/>
    </w:rPr>
  </w:style>
  <w:style w:type="character" w:customStyle="1" w:styleId="22">
    <w:name w:val="ListLabel 1"/>
    <w:qFormat/>
    <w:uiPriority w:val="0"/>
    <w:rPr>
      <w:rFonts w:ascii="宋体" w:hAnsi="宋体" w:cs="Times New Roman"/>
      <w:sz w:val="28"/>
    </w:rPr>
  </w:style>
  <w:style w:type="character" w:customStyle="1" w:styleId="23">
    <w:name w:val="Message Header Label"/>
    <w:qFormat/>
    <w:uiPriority w:val="0"/>
    <w:rPr>
      <w:rFonts w:ascii="Arial Black" w:hAnsi="Arial Black"/>
      <w:sz w:val="18"/>
    </w:rPr>
  </w:style>
  <w:style w:type="character" w:customStyle="1" w:styleId="24">
    <w:name w:val="WW8Num1z0"/>
    <w:qFormat/>
    <w:uiPriority w:val="0"/>
    <w:rPr>
      <w:sz w:val="24"/>
    </w:rPr>
  </w:style>
  <w:style w:type="character" w:customStyle="1" w:styleId="25">
    <w:name w:val="Internet 链接"/>
    <w:qFormat/>
    <w:uiPriority w:val="0"/>
    <w:rPr>
      <w:color w:val="000080"/>
      <w:u w:val="single"/>
    </w:rPr>
  </w:style>
  <w:style w:type="character" w:customStyle="1" w:styleId="26">
    <w:name w:val="ListLabel 2"/>
    <w:qFormat/>
    <w:uiPriority w:val="0"/>
    <w:rPr>
      <w:rFonts w:ascii="宋体" w:hAnsi="宋体" w:cs="Times New Roman"/>
      <w:sz w:val="28"/>
    </w:rPr>
  </w:style>
  <w:style w:type="character" w:customStyle="1" w:styleId="27">
    <w:name w:val="ListLabel 3"/>
    <w:qFormat/>
    <w:uiPriority w:val="0"/>
    <w:rPr>
      <w:rFonts w:ascii="宋体" w:hAnsi="宋体" w:cs="Times New Roman"/>
      <w:sz w:val="28"/>
    </w:rPr>
  </w:style>
  <w:style w:type="character" w:customStyle="1" w:styleId="28">
    <w:name w:val="ListLabel 4"/>
    <w:qFormat/>
    <w:uiPriority w:val="0"/>
    <w:rPr>
      <w:rFonts w:cs="Times New Roman"/>
      <w:sz w:val="28"/>
    </w:rPr>
  </w:style>
  <w:style w:type="paragraph" w:customStyle="1" w:styleId="29">
    <w:name w:val="标题样式"/>
    <w:basedOn w:val="1"/>
    <w:next w:val="5"/>
    <w:qFormat/>
    <w:uiPriority w:val="0"/>
    <w:pPr>
      <w:keepNext/>
      <w:spacing w:before="240" w:after="120"/>
    </w:pPr>
    <w:rPr>
      <w:rFonts w:ascii="Arial" w:hAnsi="Arial" w:eastAsia="微软雅黑" w:cs="Lucida Sans"/>
      <w:sz w:val="28"/>
      <w:szCs w:val="28"/>
    </w:rPr>
  </w:style>
  <w:style w:type="paragraph" w:customStyle="1" w:styleId="30">
    <w:name w:val="索引"/>
    <w:basedOn w:val="1"/>
    <w:qFormat/>
    <w:uiPriority w:val="0"/>
    <w:pPr>
      <w:suppressLineNumbers/>
    </w:pPr>
    <w:rPr>
      <w:rFonts w:cs="Lucida Sans"/>
    </w:rPr>
  </w:style>
  <w:style w:type="paragraph" w:styleId="3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B01F4-2965-46FE-A316-AAE5F0D937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1126</Words>
  <Characters>6419</Characters>
  <Lines>53</Lines>
  <Paragraphs>15</Paragraphs>
  <TotalTime>5</TotalTime>
  <ScaleCrop>false</ScaleCrop>
  <LinksUpToDate>false</LinksUpToDate>
  <CharactersWithSpaces>7530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2017-02-24T02:54:00Z</dcterms:created>
  <dc:creator>Administrator</dc:creator>
  <cp:lastModifiedBy>MrSLee1410775482</cp:lastModifiedBy>
  <dcterms:modified xsi:type="dcterms:W3CDTF">2018-12-29T09:36:58Z</dcterms:modified>
  <dc:title>工程劳务协作合同</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2052-11.1.0.8236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